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　　　　　　　　　　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住所　　琴浦町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　　　　　　㊞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年度琴浦町震災に強いまちづくり促進事業実績報告書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　月　　日付　　第　　　　号による交付決定に係る事業の実績について、琴浦町補助金等交付規則第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項の規定により、下記のとおり報告します。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85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0"/>
        <w:gridCol w:w="3255"/>
        <w:gridCol w:w="2960"/>
      </w:tblGrid>
      <w:tr>
        <w:trPr>
          <w:cantSplit/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215" w:type="dxa"/>
            <w:gridSpan w:val="2"/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年度琴浦町震災に強いまちづくり促進事業補助金</w:t>
            </w: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>
        <w:trPr>
          <w:cantSplit/>
          <w:trHeight w:val="60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交付決定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算定基準額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交付決定額</w:t>
            </w:r>
          </w:p>
        </w:tc>
      </w:tr>
      <w:tr>
        <w:trPr>
          <w:cantSplit/>
          <w:trHeight w:val="60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</w:tr>
      <w:tr>
        <w:trPr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</w:tr>
      <w:tr>
        <w:trPr>
          <w:cantSplit/>
          <w:trHeight w:val="1126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215" w:type="dxa"/>
            <w:gridSpan w:val="2"/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事業報告書</w:t>
            </w: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bookmarkStart w:id="0" w:name="_GoBack"/>
            <w:bookmarkEnd w:id="0"/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収支決算書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に準ずる書類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4</Words>
  <Characters>207</Characters>
  <Application>JUST Note</Application>
  <Lines>51</Lines>
  <Paragraphs>25</Paragraphs>
  <CharactersWithSpaces>305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2022-09-21T06:19:39Z</cp:lastPrinted>
  <dcterms:created xsi:type="dcterms:W3CDTF">2013-08-12T00:32:00Z</dcterms:created>
  <dcterms:modified xsi:type="dcterms:W3CDTF">2026-06-25T02:26:22Z</dcterms:modified>
  <cp:revision>5</cp:revision>
</cp:coreProperties>
</file>