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76" w:lineRule="auto"/>
        <w:jc w:val="right"/>
        <w:rPr>
          <w:rFonts w:hint="default"/>
          <w:sz w:val="22"/>
        </w:rPr>
      </w:pPr>
      <w:r>
        <w:rPr>
          <w:rFonts w:hint="eastAsia"/>
          <w:sz w:val="22"/>
        </w:rPr>
        <w:t>　　</w:t>
      </w:r>
      <w:r>
        <w:rPr>
          <w:rFonts w:hint="default"/>
          <w:sz w:val="22"/>
        </w:rPr>
        <w:t>年　　月　　日</w:t>
      </w: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  <w:r>
        <w:rPr>
          <w:rFonts w:hint="default"/>
          <w:sz w:val="22"/>
        </w:rPr>
        <w:t>琴浦町長　　様</w:t>
      </w: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  <w:r>
        <w:rPr>
          <w:rFonts w:hint="default"/>
          <w:sz w:val="22"/>
        </w:rPr>
        <w:t>　　　　　　　　　　　　　　　　　　　申請者　住所　　琴浦町大字</w:t>
      </w:r>
    </w:p>
    <w:p>
      <w:pPr>
        <w:pStyle w:val="0"/>
        <w:spacing w:line="276" w:lineRule="auto"/>
        <w:rPr>
          <w:rFonts w:hint="default"/>
          <w:sz w:val="22"/>
        </w:rPr>
      </w:pPr>
      <w:r>
        <w:rPr>
          <w:rFonts w:hint="default"/>
          <w:sz w:val="22"/>
        </w:rPr>
        <w:t>　　　　　　　　　　　　　　　　　　　　　　　氏名　　</w:t>
      </w:r>
      <w:r>
        <w:rPr>
          <w:rFonts w:hint="eastAsia"/>
          <w:sz w:val="22"/>
        </w:rPr>
        <w:t>　　　　　　　　　　　</w:t>
      </w:r>
      <w:r>
        <w:rPr>
          <w:rFonts w:hint="default"/>
          <w:sz w:val="22"/>
        </w:rPr>
        <w:t>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sz w:val="22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/>
          <w:position w:val="3"/>
          <w:sz w:val="15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７</w:t>
      </w:r>
      <w:r>
        <w:rPr>
          <w:rFonts w:hint="default"/>
          <w:sz w:val="22"/>
        </w:rPr>
        <w:t>年度琴浦町</w:t>
      </w:r>
      <w:r>
        <w:rPr>
          <w:rFonts w:hint="eastAsia"/>
          <w:sz w:val="22"/>
        </w:rPr>
        <w:t>防犯機器購入事業補助金</w:t>
      </w:r>
      <w:r>
        <w:rPr>
          <w:rFonts w:hint="default"/>
          <w:sz w:val="22"/>
        </w:rPr>
        <w:t>支払請求書</w:t>
      </w: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  <w:r>
        <w:rPr>
          <w:rFonts w:hint="eastAsia"/>
          <w:sz w:val="22"/>
        </w:rPr>
        <w:t>　令和　　年　　月　　日付総第　　　　号による交付決定に係る</w:t>
      </w:r>
      <w:r>
        <w:rPr>
          <w:rFonts w:hint="default"/>
          <w:sz w:val="22"/>
        </w:rPr>
        <w:t>令和</w:t>
      </w:r>
      <w:r>
        <w:rPr>
          <w:rFonts w:hint="eastAsia"/>
          <w:sz w:val="22"/>
        </w:rPr>
        <w:t>７</w:t>
      </w:r>
      <w:r>
        <w:rPr>
          <w:rFonts w:hint="default"/>
          <w:sz w:val="22"/>
        </w:rPr>
        <w:t>年度琴浦町</w:t>
      </w:r>
      <w:r>
        <w:rPr>
          <w:rFonts w:hint="eastAsia"/>
          <w:sz w:val="22"/>
        </w:rPr>
        <w:t>防犯機器購入</w:t>
      </w:r>
      <w:r>
        <w:rPr>
          <w:rFonts w:hint="default"/>
          <w:sz w:val="22"/>
        </w:rPr>
        <w:t>事業費補助金の支払いについて、琴浦町補助金等交付規則第</w:t>
      </w:r>
      <w:r>
        <w:rPr>
          <w:rFonts w:hint="default"/>
          <w:sz w:val="22"/>
        </w:rPr>
        <w:t>19</w:t>
      </w:r>
      <w:r>
        <w:rPr>
          <w:rFonts w:hint="default"/>
          <w:sz w:val="22"/>
        </w:rPr>
        <w:t>条の規定により、下記のとおり請求します。</w:t>
      </w:r>
    </w:p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jc w:val="center"/>
        <w:rPr>
          <w:rFonts w:hint="default"/>
          <w:sz w:val="22"/>
        </w:rPr>
      </w:pPr>
      <w:r>
        <w:rPr>
          <w:rFonts w:hint="default"/>
          <w:sz w:val="22"/>
        </w:rPr>
        <w:t>記</w:t>
      </w:r>
    </w:p>
    <w:tbl>
      <w:tblPr>
        <w:tblStyle w:val="32"/>
        <w:tblW w:w="8605" w:type="dxa"/>
        <w:jc w:val="center"/>
        <w:tblInd w:w="0" w:type="dxa"/>
        <w:tblLayout w:type="fixed"/>
        <w:tblLook w:firstRow="1" w:lastRow="0" w:firstColumn="1" w:lastColumn="0" w:noHBand="0" w:noVBand="1" w:val="04A0"/>
      </w:tblPr>
      <w:tblGrid>
        <w:gridCol w:w="2725"/>
        <w:gridCol w:w="5880"/>
      </w:tblGrid>
      <w:tr>
        <w:trPr>
          <w:trHeight w:val="417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補助事業等の名称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令和７年度琴浦町防犯機器購入事業</w:t>
            </w:r>
          </w:p>
        </w:tc>
      </w:tr>
      <w:tr>
        <w:trPr>
          <w:trHeight w:val="417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交付額定額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　　　　　　円</w:t>
            </w:r>
          </w:p>
        </w:tc>
      </w:tr>
      <w:tr>
        <w:trPr>
          <w:trHeight w:val="417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支払請求額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</w:t>
            </w:r>
            <w:r>
              <w:rPr>
                <w:rFonts w:hint="eastAsia"/>
                <w:sz w:val="22"/>
              </w:rPr>
              <w:t>　　　　　　　円</w:t>
            </w:r>
          </w:p>
        </w:tc>
      </w:tr>
      <w:tr>
        <w:trPr>
          <w:trHeight w:val="417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精算払、概算払の別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概算払</w:t>
            </w:r>
          </w:p>
        </w:tc>
      </w:tr>
      <w:tr>
        <w:trPr>
          <w:trHeight w:val="417" w:hRule="atLeast"/>
        </w:trPr>
        <w:tc>
          <w:tcPr>
            <w:tcW w:w="2725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添付書類</w:t>
            </w:r>
          </w:p>
        </w:tc>
        <w:tc>
          <w:tcPr>
            <w:tcW w:w="5880" w:type="dxa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１　概算払通知書</w:t>
            </w:r>
            <w:r>
              <w:rPr>
                <w:rFonts w:hint="default"/>
                <w:sz w:val="22"/>
              </w:rPr>
              <w:t>の写し</w:t>
            </w:r>
          </w:p>
          <w:p>
            <w:pPr>
              <w:pStyle w:val="0"/>
              <w:ind w:left="220" w:hanging="220" w:hangingChars="10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２　金融機関名、支店名、口座種別、口座番号及び口座名義が記載されている部分の通帳等の写し</w:t>
            </w:r>
          </w:p>
        </w:tc>
      </w:tr>
    </w:tbl>
    <w:p>
      <w:pPr>
        <w:pStyle w:val="0"/>
        <w:spacing w:line="276" w:lineRule="auto"/>
        <w:rPr>
          <w:rFonts w:hint="default"/>
          <w:sz w:val="22"/>
        </w:rPr>
      </w:pPr>
    </w:p>
    <w:p>
      <w:pPr>
        <w:pStyle w:val="0"/>
        <w:spacing w:line="276" w:lineRule="auto"/>
        <w:rPr>
          <w:rFonts w:hint="default"/>
          <w:sz w:val="22"/>
        </w:rPr>
      </w:pPr>
    </w:p>
    <w:tbl>
      <w:tblPr>
        <w:tblStyle w:val="11"/>
        <w:tblW w:w="0" w:type="auto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2725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  <w:gridCol w:w="420"/>
      </w:tblGrid>
      <w:tr>
        <w:trPr>
          <w:trHeight w:val="507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振込先金融機関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r>
              <w:rPr>
                <w:rFonts w:hint="eastAsia"/>
                <w:sz w:val="22"/>
              </w:rPr>
              <w:t>　</w:t>
            </w:r>
            <w:r>
              <w:rPr>
                <w:rFonts w:hint="eastAsia"/>
                <w:sz w:val="20"/>
                <w:bdr w:val="none" w:color="auto" w:sz="0" w:space="0"/>
              </w:rPr>
              <w:t>銀行</w:t>
            </w:r>
            <w:r>
              <w:rPr>
                <w:rFonts w:hint="eastAsia"/>
                <w:sz w:val="20"/>
              </w:rPr>
              <w:t>・信金・信組・農協・その他　</w:t>
            </w:r>
          </w:p>
        </w:tc>
      </w:tr>
      <w:tr>
        <w:trPr>
          <w:trHeight w:val="354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振込先金融機関支店名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（ゆうちょ銀行以外）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wordWrap w:val="0"/>
              <w:jc w:val="right"/>
              <w:rPr>
                <w:rFonts w:hint="default"/>
                <w:sz w:val="20"/>
              </w:rPr>
            </w:pPr>
            <w:bookmarkStart w:id="0" w:name="_GoBack"/>
            <w:bookmarkEnd w:id="0"/>
            <w:r>
              <w:rPr>
                <w:rFonts w:hint="eastAsia"/>
                <w:sz w:val="20"/>
              </w:rPr>
              <w:t>　</w:t>
            </w:r>
            <w:r>
              <w:rPr>
                <w:rFonts w:hint="eastAsia"/>
                <w:sz w:val="20"/>
                <w:bdr w:val="none" w:color="auto" w:sz="0" w:space="0"/>
              </w:rPr>
              <w:t>支店</w:t>
            </w:r>
            <w:r>
              <w:rPr>
                <w:rFonts w:hint="eastAsia"/>
                <w:sz w:val="20"/>
              </w:rPr>
              <w:t>・出張所　</w:t>
            </w:r>
          </w:p>
        </w:tc>
      </w:tr>
      <w:tr>
        <w:trPr>
          <w:trHeight w:val="549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振込預金種別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　　</w:t>
            </w:r>
            <w:r>
              <w:rPr>
                <w:rFonts w:hint="eastAsia"/>
                <w:sz w:val="22"/>
                <w:bdr w:val="none" w:color="auto" w:sz="0" w:space="0"/>
              </w:rPr>
              <w:t>普通</w:t>
            </w:r>
            <w:r>
              <w:rPr>
                <w:rFonts w:hint="eastAsia"/>
                <w:sz w:val="22"/>
              </w:rPr>
              <w:t>　　・　　当座　　・　　その他（　　　　　　）</w:t>
            </w:r>
          </w:p>
        </w:tc>
      </w:tr>
      <w:tr>
        <w:trPr>
          <w:trHeight w:val="354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sz w:val="22"/>
              </w:rPr>
              <w:t>（ゆうちょ銀行以外）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</w:t>
            </w:r>
          </w:p>
        </w:tc>
      </w:tr>
      <w:tr>
        <w:trPr>
          <w:trHeight w:val="563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ゆうちょ銀行の口座番号</w:t>
            </w: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420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</w:tr>
      <w:tr>
        <w:trPr>
          <w:trHeight w:val="570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フリガナ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  <w:r>
              <w:rPr>
                <w:rFonts w:hint="default"/>
                <w:sz w:val="22"/>
              </w:rPr>
              <w:t>　</w:t>
            </w:r>
          </w:p>
        </w:tc>
      </w:tr>
      <w:tr>
        <w:trPr>
          <w:trHeight w:val="672" w:hRule="atLeast"/>
        </w:trPr>
        <w:tc>
          <w:tcPr>
            <w:tcW w:w="2725" w:type="dxa"/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口座名義</w:t>
            </w:r>
          </w:p>
        </w:tc>
        <w:tc>
          <w:tcPr>
            <w:tcW w:w="5880" w:type="dxa"/>
            <w:gridSpan w:val="14"/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2"/>
              </w:rPr>
            </w:pPr>
            <w:r>
              <w:rPr>
                <w:rFonts w:hint="default"/>
                <w:sz w:val="22"/>
              </w:rPr>
              <w:t>　</w:t>
            </w:r>
          </w:p>
        </w:tc>
      </w:tr>
    </w:tbl>
    <w:p>
      <w:pPr>
        <w:pStyle w:val="0"/>
        <w:spacing w:line="276" w:lineRule="auto"/>
        <w:rPr>
          <w:rFonts w:hint="default"/>
          <w:sz w:val="22"/>
        </w:rPr>
      </w:pPr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" w:linePitch="29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4"/>
  <w:bordersDoNotSurroundHeader/>
  <w:bordersDoNotSurroundFooter/>
  <w:defaultTabStop w:val="840"/>
  <w:drawingGridHorizontalSpacing w:val="105"/>
  <w:drawingGridVerticalSpacing w:val="291"/>
  <w:displayHorizont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annotation reference"/>
    <w:basedOn w:val="10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jc w:val="left"/>
    </w:pPr>
  </w:style>
  <w:style w:type="character" w:styleId="21" w:customStyle="1">
    <w:name w:val="コメント文字列 (文字)"/>
    <w:basedOn w:val="10"/>
    <w:next w:val="21"/>
    <w:link w:val="20"/>
    <w:uiPriority w:val="0"/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b w:val="1"/>
    </w:rPr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paragraph" w:styleId="26">
    <w:name w:val="Note Heading"/>
    <w:basedOn w:val="0"/>
    <w:next w:val="0"/>
    <w:link w:val="27"/>
    <w:uiPriority w:val="0"/>
    <w:pPr>
      <w:jc w:val="center"/>
    </w:pPr>
  </w:style>
  <w:style w:type="character" w:styleId="27" w:customStyle="1">
    <w:name w:val="記 (文字)"/>
    <w:basedOn w:val="10"/>
    <w:next w:val="27"/>
    <w:link w:val="26"/>
    <w:uiPriority w:val="0"/>
  </w:style>
  <w:style w:type="paragraph" w:styleId="28">
    <w:name w:val="Closing"/>
    <w:basedOn w:val="0"/>
    <w:next w:val="28"/>
    <w:link w:val="29"/>
    <w:uiPriority w:val="0"/>
    <w:pPr>
      <w:jc w:val="right"/>
    </w:pPr>
  </w:style>
  <w:style w:type="character" w:styleId="29" w:customStyle="1">
    <w:name w:val="結語 (文字)"/>
    <w:basedOn w:val="10"/>
    <w:next w:val="29"/>
    <w:link w:val="28"/>
    <w:uiPriority w:val="0"/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  <w:style w:type="table" w:styleId="32">
    <w:name w:val="Table Grid"/>
    <w:basedOn w:val="11"/>
    <w:next w:val="3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162</TotalTime>
  <Pages>1</Pages>
  <Words>1</Words>
  <Characters>335</Characters>
  <Application>JUST Note</Application>
  <Lines>61</Lines>
  <Paragraphs>33</Paragraphs>
  <CharactersWithSpaces>456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佐藤 陽一</dc:creator>
  <cp:lastModifiedBy>佐藤 陽一</cp:lastModifiedBy>
  <cp:lastPrinted>2024-04-30T23:55:41Z</cp:lastPrinted>
  <dcterms:created xsi:type="dcterms:W3CDTF">2019-12-20T05:05:00Z</dcterms:created>
  <dcterms:modified xsi:type="dcterms:W3CDTF">2025-05-08T01:21:37Z</dcterms:modified>
  <cp:revision>3</cp:revision>
</cp:coreProperties>
</file>